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Bake cat treats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cat treats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explaining the benefits of cat treats for cats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